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Петрова Владимира Станиславовича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работающей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Рускомсевер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25rplc-1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Рускомсевер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Проезд 6П, 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налоговую декларацию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>, квартальный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налоговой декларации по налогу на прибыль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12 месяцев,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квартальный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24:00 часов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 декларация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прибыль за 12 месяцев, представлена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Петров В.С.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Петров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3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Петров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7"/>
          <w:szCs w:val="27"/>
        </w:rPr>
        <w:t>России № 7 по Ханты-Мансийскому автономному округу – Югре, налоговую декларацию по налогу на прибыль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прибыль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 ст. 80 Налогового кодекса РФ, н</w:t>
      </w:r>
      <w:r>
        <w:rPr>
          <w:rFonts w:ascii="Times New Roman" w:eastAsia="Times New Roman" w:hAnsi="Times New Roman" w:cs="Times New Roman"/>
          <w:sz w:val="27"/>
          <w:szCs w:val="27"/>
        </w:rPr>
        <w:t>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п. 3,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289 Налогового кодекса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алогоплательщики представляют налоговые декларации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dst10267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а по итогам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налогового периода не позднее 25 марта года,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1, 2 ст. 285 НК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отчетным периодом по налогу на прибыль организаций признается 1 квартал, полугодие и 9 месяцев календарного года, а налоговым периодом – календарный год.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Петров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</w:t>
      </w:r>
      <w:r>
        <w:rPr>
          <w:rFonts w:ascii="Times New Roman" w:eastAsia="Times New Roman" w:hAnsi="Times New Roman" w:cs="Times New Roman"/>
          <w:sz w:val="27"/>
          <w:szCs w:val="27"/>
        </w:rPr>
        <w:t>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Рускомсевер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Петрова Владимира Станиславовича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PassportDatagrp-25rplc-18">
    <w:name w:val="cat-PassportData grp-25 rplc-18"/>
    <w:basedOn w:val="DefaultParagraphFont"/>
  </w:style>
  <w:style w:type="character" w:customStyle="1" w:styleId="cat-ExternalSystemDefinedgrp-29rplc-19">
    <w:name w:val="cat-ExternalSystemDefined grp-29 rplc-19"/>
    <w:basedOn w:val="DefaultParagraphFont"/>
  </w:style>
  <w:style w:type="character" w:customStyle="1" w:styleId="cat-ExternalSystemDefinedgrp-28rplc-20">
    <w:name w:val="cat-ExternalSystemDefined grp-28 rplc-20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UserDefinedgrp-35rplc-52">
    <w:name w:val="cat-UserDefined grp-3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7019/45b71f91f6ca44eb1272308f45bae5877228bc8f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